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0"/>
          <w:sz w:val="40"/>
          <w:szCs w:val="40"/>
          <w:u w:val="single"/>
          <w:vertAlign w:val="baseline"/>
        </w:rPr>
      </w:pPr>
      <w:r w:rsidDel="00000000" w:rsidR="00000000" w:rsidRPr="00000000">
        <w:rPr>
          <w:b w:val="1"/>
          <w:sz w:val="40"/>
          <w:szCs w:val="40"/>
          <w:u w:val="single"/>
          <w:vertAlign w:val="baseline"/>
          <w:rtl w:val="0"/>
        </w:rPr>
        <w:t xml:space="preserve">RSBK`s POLICY FÖR  Y- BOMMAR.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Styrelsen anvisar plats.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Användandet av Y-bommar medför att medlem måste vara överens med sin/-a båtgranne / -ar angående typ av bom, längd och pris.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Enkelbom får endast användas på ytterplats.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Bottenförankring på  400 sidan ;sten , boj får användas.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Sten  , ej P-ring  på utsatta platser.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På 100 ,200 / 300 sidorna , Y-bommar eller bottenförankring </w:t>
      </w:r>
      <w:r w:rsidDel="00000000" w:rsidR="00000000" w:rsidRPr="00000000">
        <w:rPr>
          <w:b w:val="1"/>
          <w:u w:val="single"/>
          <w:vertAlign w:val="baseline"/>
          <w:rtl w:val="0"/>
        </w:rPr>
        <w:t xml:space="preserve">utan boj.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Ytterplatserna måste ha bottenförankring  för nordvindarna.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Styrelsen måste kontaktas innan Y-bommar monteras, samt godkänna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bottenförankringen som skall köpas genom klubben till själv.kostn.pris.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